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78"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
        <w:gridCol w:w="4820"/>
        <w:gridCol w:w="6717"/>
        <w:gridCol w:w="3773"/>
        <w:gridCol w:w="61"/>
      </w:tblGrid>
      <w:tr w:rsidR="00CC230D" w:rsidTr="00CC230D">
        <w:trPr>
          <w:trHeight w:val="320"/>
        </w:trPr>
        <w:tc>
          <w:tcPr>
            <w:tcW w:w="11544" w:type="dxa"/>
            <w:gridSpan w:val="3"/>
          </w:tcPr>
          <w:p w:rsidR="00CC230D" w:rsidRDefault="00CC230D" w:rsidP="00366E9B">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gridSpan w:val="2"/>
          </w:tcPr>
          <w:p w:rsidR="00CC230D" w:rsidRDefault="00CC230D" w:rsidP="00366E9B">
            <w:pPr>
              <w:pStyle w:val="TableParagraph"/>
              <w:spacing w:before="21" w:line="278" w:lineRule="exact"/>
              <w:rPr>
                <w:sz w:val="24"/>
              </w:rPr>
            </w:pPr>
            <w:r>
              <w:rPr>
                <w:color w:val="231F20"/>
                <w:sz w:val="24"/>
              </w:rPr>
              <w:t>£5,000</w:t>
            </w:r>
          </w:p>
        </w:tc>
      </w:tr>
      <w:tr w:rsidR="00CC230D" w:rsidTr="00CC230D">
        <w:trPr>
          <w:trHeight w:val="324"/>
        </w:trPr>
        <w:tc>
          <w:tcPr>
            <w:tcW w:w="11544" w:type="dxa"/>
            <w:gridSpan w:val="3"/>
          </w:tcPr>
          <w:p w:rsidR="00CC230D" w:rsidRDefault="00CC230D" w:rsidP="00366E9B">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gridSpan w:val="2"/>
          </w:tcPr>
          <w:p w:rsidR="00CC230D" w:rsidRDefault="00CC230D" w:rsidP="00366E9B">
            <w:pPr>
              <w:pStyle w:val="TableParagraph"/>
              <w:spacing w:before="21" w:line="283" w:lineRule="exact"/>
              <w:rPr>
                <w:sz w:val="24"/>
              </w:rPr>
            </w:pPr>
            <w:r>
              <w:rPr>
                <w:color w:val="231F20"/>
                <w:sz w:val="24"/>
              </w:rPr>
              <w:t>£16,580.00</w:t>
            </w:r>
          </w:p>
        </w:tc>
      </w:tr>
      <w:tr w:rsidR="00CC230D" w:rsidTr="00CC230D">
        <w:trPr>
          <w:trHeight w:val="320"/>
        </w:trPr>
        <w:tc>
          <w:tcPr>
            <w:tcW w:w="11544" w:type="dxa"/>
            <w:gridSpan w:val="3"/>
          </w:tcPr>
          <w:p w:rsidR="00CC230D" w:rsidRDefault="00CC230D" w:rsidP="00366E9B">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gridSpan w:val="2"/>
          </w:tcPr>
          <w:p w:rsidR="00CC230D" w:rsidRDefault="00CC230D" w:rsidP="00366E9B">
            <w:pPr>
              <w:pStyle w:val="TableParagraph"/>
              <w:spacing w:before="21" w:line="278" w:lineRule="exact"/>
              <w:rPr>
                <w:sz w:val="20"/>
              </w:rPr>
            </w:pPr>
            <w:r>
              <w:rPr>
                <w:color w:val="231F20"/>
                <w:sz w:val="24"/>
              </w:rPr>
              <w:t>£21,580.00</w:t>
            </w:r>
          </w:p>
        </w:tc>
      </w:tr>
      <w:tr w:rsidR="00CC230D" w:rsidTr="00CC230D">
        <w:trPr>
          <w:trHeight w:val="320"/>
        </w:trPr>
        <w:tc>
          <w:tcPr>
            <w:tcW w:w="15378" w:type="dxa"/>
            <w:gridSpan w:val="5"/>
            <w:shd w:val="clear" w:color="auto" w:fill="BDD6EE" w:themeFill="accent1" w:themeFillTint="66"/>
          </w:tcPr>
          <w:p w:rsidR="00CC230D" w:rsidRDefault="00CC230D" w:rsidP="00366E9B">
            <w:pPr>
              <w:pStyle w:val="TableParagraph"/>
              <w:spacing w:before="21" w:line="278" w:lineRule="exact"/>
              <w:rPr>
                <w:color w:val="231F20"/>
                <w:sz w:val="24"/>
              </w:rPr>
            </w:pPr>
          </w:p>
        </w:tc>
      </w:tr>
      <w:tr w:rsidR="00CC230D" w:rsidTr="00CC230D">
        <w:trPr>
          <w:trHeight w:val="320"/>
        </w:trPr>
        <w:tc>
          <w:tcPr>
            <w:tcW w:w="15378" w:type="dxa"/>
            <w:gridSpan w:val="5"/>
          </w:tcPr>
          <w:p w:rsidR="00CC230D" w:rsidRPr="00E7411A" w:rsidRDefault="00CC230D" w:rsidP="00366E9B">
            <w:pPr>
              <w:pStyle w:val="TableParagraph"/>
              <w:spacing w:before="21" w:line="278" w:lineRule="exact"/>
              <w:rPr>
                <w:rFonts w:asciiTheme="minorHAnsi" w:hAnsiTheme="minorHAnsi"/>
                <w:b/>
                <w:sz w:val="24"/>
                <w:szCs w:val="24"/>
              </w:rPr>
            </w:pPr>
            <w:r w:rsidRPr="00E7411A">
              <w:rPr>
                <w:rFonts w:asciiTheme="minorHAnsi" w:hAnsiTheme="minorHAnsi"/>
                <w:b/>
                <w:sz w:val="24"/>
                <w:szCs w:val="24"/>
              </w:rPr>
              <w:t>Objectives:</w:t>
            </w:r>
          </w:p>
          <w:p w:rsidR="00CC230D" w:rsidRPr="003A2108" w:rsidRDefault="00CC230D" w:rsidP="00E7411A">
            <w:pPr>
              <w:pStyle w:val="TableParagraph"/>
              <w:numPr>
                <w:ilvl w:val="0"/>
                <w:numId w:val="1"/>
              </w:numPr>
              <w:spacing w:before="21" w:line="278" w:lineRule="exact"/>
              <w:rPr>
                <w:rFonts w:asciiTheme="minorHAnsi" w:hAnsiTheme="minorHAnsi"/>
                <w:sz w:val="24"/>
                <w:szCs w:val="24"/>
              </w:rPr>
            </w:pPr>
            <w:r w:rsidRPr="003A2108">
              <w:rPr>
                <w:rFonts w:asciiTheme="minorHAnsi" w:hAnsiTheme="minorHAnsi"/>
                <w:sz w:val="24"/>
                <w:szCs w:val="24"/>
              </w:rPr>
              <w:t>To engage</w:t>
            </w:r>
            <w:r w:rsidRPr="003A2108">
              <w:rPr>
                <w:rFonts w:asciiTheme="minorHAnsi" w:hAnsiTheme="minorHAnsi"/>
                <w:spacing w:val="-6"/>
                <w:sz w:val="24"/>
                <w:szCs w:val="24"/>
              </w:rPr>
              <w:t xml:space="preserve"> </w:t>
            </w:r>
            <w:r w:rsidRPr="003A2108">
              <w:rPr>
                <w:rFonts w:asciiTheme="minorHAnsi" w:hAnsiTheme="minorHAnsi"/>
                <w:sz w:val="24"/>
                <w:szCs w:val="24"/>
                <w:u w:val="single" w:color="00B9F2"/>
              </w:rPr>
              <w:t>all</w:t>
            </w:r>
            <w:r w:rsidRPr="003A2108">
              <w:rPr>
                <w:rFonts w:asciiTheme="minorHAnsi" w:hAnsiTheme="minorHAnsi"/>
                <w:spacing w:val="-6"/>
                <w:sz w:val="24"/>
                <w:szCs w:val="24"/>
              </w:rPr>
              <w:t xml:space="preserve"> </w:t>
            </w:r>
            <w:r w:rsidRPr="003A2108">
              <w:rPr>
                <w:rFonts w:asciiTheme="minorHAnsi" w:hAnsiTheme="minorHAnsi"/>
                <w:sz w:val="24"/>
                <w:szCs w:val="24"/>
              </w:rPr>
              <w:t>pupils</w:t>
            </w:r>
            <w:r w:rsidRPr="003A2108">
              <w:rPr>
                <w:rFonts w:asciiTheme="minorHAnsi" w:hAnsiTheme="minorHAnsi"/>
                <w:spacing w:val="-6"/>
                <w:sz w:val="24"/>
                <w:szCs w:val="24"/>
              </w:rPr>
              <w:t xml:space="preserve"> </w:t>
            </w:r>
            <w:r w:rsidRPr="003A2108">
              <w:rPr>
                <w:rFonts w:asciiTheme="minorHAnsi" w:hAnsiTheme="minorHAnsi"/>
                <w:sz w:val="24"/>
                <w:szCs w:val="24"/>
              </w:rPr>
              <w:t>in</w:t>
            </w:r>
            <w:r w:rsidRPr="003A2108">
              <w:rPr>
                <w:rFonts w:asciiTheme="minorHAnsi" w:hAnsiTheme="minorHAnsi"/>
                <w:spacing w:val="-6"/>
                <w:sz w:val="24"/>
                <w:szCs w:val="24"/>
              </w:rPr>
              <w:t xml:space="preserve"> </w:t>
            </w:r>
            <w:r w:rsidRPr="003A2108">
              <w:rPr>
                <w:rFonts w:asciiTheme="minorHAnsi" w:hAnsiTheme="minorHAnsi"/>
                <w:sz w:val="24"/>
                <w:szCs w:val="24"/>
              </w:rPr>
              <w:t>regular</w:t>
            </w:r>
            <w:r w:rsidRPr="003A2108">
              <w:rPr>
                <w:rFonts w:asciiTheme="minorHAnsi" w:hAnsiTheme="minorHAnsi"/>
                <w:spacing w:val="-5"/>
                <w:sz w:val="24"/>
                <w:szCs w:val="24"/>
              </w:rPr>
              <w:t xml:space="preserve"> </w:t>
            </w:r>
            <w:r w:rsidRPr="003A2108">
              <w:rPr>
                <w:rFonts w:asciiTheme="minorHAnsi" w:hAnsiTheme="minorHAnsi"/>
                <w:sz w:val="24"/>
                <w:szCs w:val="24"/>
              </w:rPr>
              <w:t>physical</w:t>
            </w:r>
            <w:r w:rsidRPr="003A2108">
              <w:rPr>
                <w:rFonts w:asciiTheme="minorHAnsi" w:hAnsiTheme="minorHAnsi"/>
                <w:spacing w:val="-6"/>
                <w:sz w:val="24"/>
                <w:szCs w:val="24"/>
              </w:rPr>
              <w:t xml:space="preserve"> </w:t>
            </w:r>
            <w:r w:rsidRPr="003A2108">
              <w:rPr>
                <w:rFonts w:asciiTheme="minorHAnsi" w:hAnsiTheme="minorHAnsi"/>
                <w:sz w:val="24"/>
                <w:szCs w:val="24"/>
              </w:rPr>
              <w:t>activity</w:t>
            </w:r>
            <w:r>
              <w:rPr>
                <w:rFonts w:asciiTheme="minorHAnsi" w:hAnsiTheme="minorHAnsi"/>
                <w:sz w:val="24"/>
                <w:szCs w:val="24"/>
              </w:rPr>
              <w:t xml:space="preserve"> with support and intervention planned where required</w:t>
            </w:r>
          </w:p>
          <w:p w:rsidR="00CC230D" w:rsidRPr="00E7411A" w:rsidRDefault="00CC230D" w:rsidP="00E7411A">
            <w:pPr>
              <w:pStyle w:val="ListParagraph"/>
              <w:numPr>
                <w:ilvl w:val="0"/>
                <w:numId w:val="1"/>
              </w:numPr>
              <w:rPr>
                <w:rFonts w:asciiTheme="minorHAnsi" w:hAnsiTheme="minorHAnsi" w:cs="Arial"/>
                <w:color w:val="444444"/>
                <w:sz w:val="24"/>
                <w:szCs w:val="24"/>
                <w:shd w:val="clear" w:color="auto" w:fill="FFFFFF"/>
              </w:rPr>
            </w:pPr>
            <w:r w:rsidRPr="00E7411A">
              <w:rPr>
                <w:rFonts w:asciiTheme="minorHAnsi" w:hAnsiTheme="minorHAnsi"/>
                <w:color w:val="231F20"/>
                <w:sz w:val="24"/>
                <w:szCs w:val="24"/>
              </w:rPr>
              <w:t>To raise the profile of PE across the school through</w:t>
            </w:r>
            <w:r w:rsidRPr="00E7411A">
              <w:rPr>
                <w:rFonts w:asciiTheme="minorHAnsi" w:hAnsiTheme="minorHAnsi" w:cs="Arial"/>
                <w:color w:val="444444"/>
                <w:sz w:val="24"/>
                <w:szCs w:val="24"/>
                <w:shd w:val="clear" w:color="auto" w:fill="FFFFFF"/>
              </w:rPr>
              <w:t xml:space="preserve"> PE lessons, school games events and competitions, sport leadership, extra-curricular clubs and </w:t>
            </w:r>
            <w:r w:rsidRPr="00E7411A">
              <w:rPr>
                <w:rFonts w:asciiTheme="minorHAnsi" w:hAnsiTheme="minorHAnsi" w:cs="Arial"/>
                <w:color w:val="444444"/>
                <w:sz w:val="24"/>
                <w:szCs w:val="24"/>
                <w:shd w:val="clear" w:color="auto" w:fill="FFFFFF"/>
              </w:rPr>
              <w:t xml:space="preserve">      </w:t>
            </w:r>
          </w:p>
          <w:p w:rsidR="00CC230D" w:rsidRPr="00E7411A" w:rsidRDefault="00CC230D" w:rsidP="00E7411A">
            <w:pPr>
              <w:pStyle w:val="ListParagraph"/>
              <w:rPr>
                <w:rFonts w:asciiTheme="minorHAnsi" w:hAnsiTheme="minorHAnsi"/>
                <w:color w:val="231F20"/>
                <w:sz w:val="24"/>
                <w:szCs w:val="24"/>
              </w:rPr>
            </w:pPr>
            <w:r w:rsidRPr="00E7411A">
              <w:rPr>
                <w:rFonts w:asciiTheme="minorHAnsi" w:hAnsiTheme="minorHAnsi" w:cs="Arial"/>
                <w:color w:val="444444"/>
                <w:sz w:val="24"/>
                <w:szCs w:val="24"/>
                <w:shd w:val="clear" w:color="auto" w:fill="FFFFFF"/>
              </w:rPr>
              <w:t>enrichment</w:t>
            </w:r>
          </w:p>
          <w:p w:rsidR="00CC230D" w:rsidRPr="00E7411A" w:rsidRDefault="00CC230D" w:rsidP="00E7411A">
            <w:pPr>
              <w:pStyle w:val="ListParagraph"/>
              <w:numPr>
                <w:ilvl w:val="0"/>
                <w:numId w:val="1"/>
              </w:numPr>
              <w:rPr>
                <w:rFonts w:asciiTheme="minorHAnsi" w:hAnsiTheme="minorHAnsi"/>
                <w:color w:val="231F20"/>
                <w:sz w:val="24"/>
                <w:szCs w:val="24"/>
              </w:rPr>
            </w:pPr>
            <w:r w:rsidRPr="00E7411A">
              <w:rPr>
                <w:rFonts w:asciiTheme="minorHAnsi" w:hAnsiTheme="minorHAnsi"/>
                <w:sz w:val="24"/>
                <w:szCs w:val="24"/>
              </w:rPr>
              <w:t>To increase the</w:t>
            </w:r>
            <w:r w:rsidRPr="00E7411A">
              <w:rPr>
                <w:rFonts w:asciiTheme="minorHAnsi" w:hAnsiTheme="minorHAnsi"/>
                <w:spacing w:val="-4"/>
                <w:sz w:val="24"/>
                <w:szCs w:val="24"/>
              </w:rPr>
              <w:t xml:space="preserve"> </w:t>
            </w:r>
            <w:r w:rsidRPr="00E7411A">
              <w:rPr>
                <w:rFonts w:asciiTheme="minorHAnsi" w:hAnsiTheme="minorHAnsi"/>
                <w:sz w:val="24"/>
                <w:szCs w:val="24"/>
              </w:rPr>
              <w:t>confidence,</w:t>
            </w:r>
            <w:r w:rsidRPr="00E7411A">
              <w:rPr>
                <w:rFonts w:asciiTheme="minorHAnsi" w:hAnsiTheme="minorHAnsi"/>
                <w:spacing w:val="-5"/>
                <w:sz w:val="24"/>
                <w:szCs w:val="24"/>
              </w:rPr>
              <w:t xml:space="preserve"> </w:t>
            </w:r>
            <w:r w:rsidRPr="00E7411A">
              <w:rPr>
                <w:rFonts w:asciiTheme="minorHAnsi" w:hAnsiTheme="minorHAnsi"/>
                <w:sz w:val="24"/>
                <w:szCs w:val="24"/>
              </w:rPr>
              <w:t>knowledge</w:t>
            </w:r>
            <w:r w:rsidRPr="00E7411A">
              <w:rPr>
                <w:rFonts w:asciiTheme="minorHAnsi" w:hAnsiTheme="minorHAnsi"/>
                <w:spacing w:val="-4"/>
                <w:sz w:val="24"/>
                <w:szCs w:val="24"/>
              </w:rPr>
              <w:t xml:space="preserve"> </w:t>
            </w:r>
            <w:r w:rsidRPr="00E7411A">
              <w:rPr>
                <w:rFonts w:asciiTheme="minorHAnsi" w:hAnsiTheme="minorHAnsi"/>
                <w:sz w:val="24"/>
                <w:szCs w:val="24"/>
              </w:rPr>
              <w:t>and</w:t>
            </w:r>
            <w:r w:rsidRPr="00E7411A">
              <w:rPr>
                <w:rFonts w:asciiTheme="minorHAnsi" w:hAnsiTheme="minorHAnsi"/>
                <w:spacing w:val="-5"/>
                <w:sz w:val="24"/>
                <w:szCs w:val="24"/>
              </w:rPr>
              <w:t xml:space="preserve"> </w:t>
            </w:r>
            <w:r w:rsidRPr="00E7411A">
              <w:rPr>
                <w:rFonts w:asciiTheme="minorHAnsi" w:hAnsiTheme="minorHAnsi"/>
                <w:sz w:val="24"/>
                <w:szCs w:val="24"/>
              </w:rPr>
              <w:t>skills</w:t>
            </w:r>
            <w:r w:rsidRPr="00E7411A">
              <w:rPr>
                <w:rFonts w:asciiTheme="minorHAnsi" w:hAnsiTheme="minorHAnsi"/>
                <w:spacing w:val="-4"/>
                <w:sz w:val="24"/>
                <w:szCs w:val="24"/>
              </w:rPr>
              <w:t xml:space="preserve"> </w:t>
            </w:r>
            <w:r w:rsidRPr="00E7411A">
              <w:rPr>
                <w:rFonts w:asciiTheme="minorHAnsi" w:hAnsiTheme="minorHAnsi"/>
                <w:sz w:val="24"/>
                <w:szCs w:val="24"/>
              </w:rPr>
              <w:t>of</w:t>
            </w:r>
            <w:r w:rsidRPr="00E7411A">
              <w:rPr>
                <w:rFonts w:asciiTheme="minorHAnsi" w:hAnsiTheme="minorHAnsi"/>
                <w:spacing w:val="-5"/>
                <w:sz w:val="24"/>
                <w:szCs w:val="24"/>
              </w:rPr>
              <w:t xml:space="preserve"> </w:t>
            </w:r>
            <w:r w:rsidRPr="00E7411A">
              <w:rPr>
                <w:rFonts w:asciiTheme="minorHAnsi" w:hAnsiTheme="minorHAnsi"/>
                <w:sz w:val="24"/>
                <w:szCs w:val="24"/>
              </w:rPr>
              <w:t>all</w:t>
            </w:r>
            <w:r w:rsidRPr="00E7411A">
              <w:rPr>
                <w:rFonts w:asciiTheme="minorHAnsi" w:hAnsiTheme="minorHAnsi"/>
                <w:spacing w:val="-5"/>
                <w:sz w:val="24"/>
                <w:szCs w:val="24"/>
              </w:rPr>
              <w:t xml:space="preserve"> </w:t>
            </w:r>
            <w:r w:rsidRPr="00E7411A">
              <w:rPr>
                <w:rFonts w:asciiTheme="minorHAnsi" w:hAnsiTheme="minorHAnsi"/>
                <w:sz w:val="24"/>
                <w:szCs w:val="24"/>
              </w:rPr>
              <w:t>staff</w:t>
            </w:r>
            <w:r w:rsidRPr="00E7411A">
              <w:rPr>
                <w:rFonts w:asciiTheme="minorHAnsi" w:hAnsiTheme="minorHAnsi"/>
                <w:spacing w:val="-5"/>
                <w:sz w:val="24"/>
                <w:szCs w:val="24"/>
              </w:rPr>
              <w:t xml:space="preserve"> </w:t>
            </w:r>
            <w:r w:rsidRPr="00E7411A">
              <w:rPr>
                <w:rFonts w:asciiTheme="minorHAnsi" w:hAnsiTheme="minorHAnsi"/>
                <w:sz w:val="24"/>
                <w:szCs w:val="24"/>
              </w:rPr>
              <w:t>in</w:t>
            </w:r>
            <w:r w:rsidRPr="00E7411A">
              <w:rPr>
                <w:rFonts w:asciiTheme="minorHAnsi" w:hAnsiTheme="minorHAnsi"/>
                <w:spacing w:val="-5"/>
                <w:sz w:val="24"/>
                <w:szCs w:val="24"/>
              </w:rPr>
              <w:t xml:space="preserve"> </w:t>
            </w:r>
            <w:r w:rsidRPr="00E7411A">
              <w:rPr>
                <w:rFonts w:asciiTheme="minorHAnsi" w:hAnsiTheme="minorHAnsi"/>
                <w:sz w:val="24"/>
                <w:szCs w:val="24"/>
              </w:rPr>
              <w:t>teaching</w:t>
            </w:r>
            <w:r w:rsidRPr="00E7411A">
              <w:rPr>
                <w:rFonts w:asciiTheme="minorHAnsi" w:hAnsiTheme="minorHAnsi"/>
                <w:spacing w:val="-4"/>
                <w:sz w:val="24"/>
                <w:szCs w:val="24"/>
              </w:rPr>
              <w:t xml:space="preserve"> </w:t>
            </w:r>
            <w:r w:rsidRPr="00E7411A">
              <w:rPr>
                <w:rFonts w:asciiTheme="minorHAnsi" w:hAnsiTheme="minorHAnsi"/>
                <w:sz w:val="24"/>
                <w:szCs w:val="24"/>
              </w:rPr>
              <w:t>PE</w:t>
            </w:r>
            <w:r w:rsidRPr="00E7411A">
              <w:rPr>
                <w:rFonts w:asciiTheme="minorHAnsi" w:hAnsiTheme="minorHAnsi"/>
                <w:spacing w:val="-4"/>
                <w:sz w:val="24"/>
                <w:szCs w:val="24"/>
              </w:rPr>
              <w:t xml:space="preserve"> </w:t>
            </w:r>
            <w:r w:rsidRPr="00E7411A">
              <w:rPr>
                <w:rFonts w:asciiTheme="minorHAnsi" w:hAnsiTheme="minorHAnsi"/>
                <w:sz w:val="24"/>
                <w:szCs w:val="24"/>
              </w:rPr>
              <w:t>and</w:t>
            </w:r>
            <w:r w:rsidRPr="00E7411A">
              <w:rPr>
                <w:rFonts w:asciiTheme="minorHAnsi" w:hAnsiTheme="minorHAnsi"/>
                <w:spacing w:val="-5"/>
                <w:sz w:val="24"/>
                <w:szCs w:val="24"/>
              </w:rPr>
              <w:t xml:space="preserve"> </w:t>
            </w:r>
            <w:r w:rsidRPr="00E7411A">
              <w:rPr>
                <w:rFonts w:asciiTheme="minorHAnsi" w:hAnsiTheme="minorHAnsi"/>
                <w:sz w:val="24"/>
                <w:szCs w:val="24"/>
              </w:rPr>
              <w:t>sport</w:t>
            </w:r>
          </w:p>
          <w:p w:rsidR="00CC230D" w:rsidRDefault="00CC230D" w:rsidP="00366E9B">
            <w:pPr>
              <w:pStyle w:val="TableParagraph"/>
              <w:spacing w:before="21" w:line="278" w:lineRule="exact"/>
              <w:rPr>
                <w:color w:val="231F20"/>
                <w:sz w:val="24"/>
              </w:rPr>
            </w:pPr>
          </w:p>
        </w:tc>
      </w:tr>
      <w:tr w:rsidR="00CC230D" w:rsidTr="00CC230D">
        <w:trPr>
          <w:trHeight w:val="320"/>
        </w:trPr>
        <w:tc>
          <w:tcPr>
            <w:tcW w:w="15378" w:type="dxa"/>
            <w:gridSpan w:val="5"/>
          </w:tcPr>
          <w:p w:rsidR="00CC230D" w:rsidRDefault="00CC230D" w:rsidP="00366E9B">
            <w:pPr>
              <w:pStyle w:val="TableParagraph"/>
              <w:spacing w:before="21" w:line="278" w:lineRule="exact"/>
              <w:rPr>
                <w:rFonts w:asciiTheme="minorHAnsi" w:hAnsiTheme="minorHAnsi"/>
                <w:b/>
                <w:sz w:val="24"/>
                <w:szCs w:val="24"/>
              </w:rPr>
            </w:pPr>
            <w:r w:rsidRPr="00E7411A">
              <w:rPr>
                <w:rFonts w:asciiTheme="minorHAnsi" w:hAnsiTheme="minorHAnsi"/>
                <w:b/>
                <w:sz w:val="24"/>
                <w:szCs w:val="24"/>
              </w:rPr>
              <w:t>How we plan to spend the funding:</w:t>
            </w:r>
          </w:p>
          <w:p w:rsidR="00CC230D" w:rsidRPr="003D2BEC" w:rsidRDefault="00CC230D" w:rsidP="003D2BEC">
            <w:pPr>
              <w:pStyle w:val="TableParagraph"/>
              <w:numPr>
                <w:ilvl w:val="0"/>
                <w:numId w:val="1"/>
              </w:numPr>
              <w:spacing w:before="21" w:line="278" w:lineRule="exact"/>
              <w:rPr>
                <w:rFonts w:asciiTheme="minorHAnsi" w:hAnsiTheme="minorHAnsi"/>
                <w:sz w:val="24"/>
                <w:szCs w:val="24"/>
              </w:rPr>
            </w:pPr>
            <w:r>
              <w:rPr>
                <w:rFonts w:asciiTheme="minorHAnsi" w:hAnsiTheme="minorHAnsi"/>
                <w:sz w:val="24"/>
                <w:szCs w:val="24"/>
              </w:rPr>
              <w:t xml:space="preserve">Review of PE curriculum/plans </w:t>
            </w:r>
            <w:r w:rsidRPr="003D2BEC">
              <w:rPr>
                <w:rFonts w:asciiTheme="minorHAnsi" w:hAnsiTheme="minorHAnsi"/>
                <w:sz w:val="24"/>
                <w:szCs w:val="24"/>
              </w:rPr>
              <w:t>and resources</w:t>
            </w:r>
            <w:r>
              <w:rPr>
                <w:rFonts w:asciiTheme="minorHAnsi" w:hAnsiTheme="minorHAnsi"/>
                <w:sz w:val="24"/>
                <w:szCs w:val="24"/>
              </w:rPr>
              <w:t xml:space="preserve"> (£3000)</w:t>
            </w:r>
          </w:p>
          <w:p w:rsidR="00CC230D" w:rsidRDefault="00CC230D" w:rsidP="00E7411A">
            <w:pPr>
              <w:pStyle w:val="TableParagraph"/>
              <w:numPr>
                <w:ilvl w:val="0"/>
                <w:numId w:val="1"/>
              </w:numPr>
              <w:spacing w:before="21" w:line="278" w:lineRule="exact"/>
              <w:rPr>
                <w:rFonts w:asciiTheme="minorHAnsi" w:hAnsiTheme="minorHAnsi"/>
                <w:sz w:val="24"/>
                <w:szCs w:val="24"/>
              </w:rPr>
            </w:pPr>
            <w:r w:rsidRPr="00E7411A">
              <w:rPr>
                <w:rFonts w:asciiTheme="minorHAnsi" w:hAnsiTheme="minorHAnsi"/>
                <w:sz w:val="24"/>
                <w:szCs w:val="24"/>
              </w:rPr>
              <w:t>External sports coaches – Premier Sports</w:t>
            </w:r>
            <w:r w:rsidR="00D63728">
              <w:rPr>
                <w:rFonts w:asciiTheme="minorHAnsi" w:hAnsiTheme="minorHAnsi"/>
                <w:sz w:val="24"/>
                <w:szCs w:val="24"/>
              </w:rPr>
              <w:t xml:space="preserve"> (£4000)</w:t>
            </w:r>
          </w:p>
          <w:p w:rsidR="00CC230D" w:rsidRDefault="00CC230D" w:rsidP="00E7411A">
            <w:pPr>
              <w:pStyle w:val="TableParagraph"/>
              <w:numPr>
                <w:ilvl w:val="0"/>
                <w:numId w:val="1"/>
              </w:numPr>
              <w:spacing w:before="21" w:line="278" w:lineRule="exact"/>
              <w:rPr>
                <w:rFonts w:asciiTheme="minorHAnsi" w:hAnsiTheme="minorHAnsi"/>
                <w:sz w:val="24"/>
                <w:szCs w:val="24"/>
              </w:rPr>
            </w:pPr>
            <w:r>
              <w:rPr>
                <w:rFonts w:asciiTheme="minorHAnsi" w:hAnsiTheme="minorHAnsi"/>
                <w:sz w:val="24"/>
                <w:szCs w:val="24"/>
              </w:rPr>
              <w:t>Update equipment – trikes &amp; scooters (£3000)</w:t>
            </w:r>
          </w:p>
          <w:p w:rsidR="00CC230D" w:rsidRDefault="00CC230D" w:rsidP="00E7411A">
            <w:pPr>
              <w:pStyle w:val="TableParagraph"/>
              <w:numPr>
                <w:ilvl w:val="0"/>
                <w:numId w:val="1"/>
              </w:numPr>
              <w:spacing w:before="21" w:line="278" w:lineRule="exact"/>
              <w:rPr>
                <w:rFonts w:asciiTheme="minorHAnsi" w:hAnsiTheme="minorHAnsi"/>
                <w:sz w:val="24"/>
                <w:szCs w:val="24"/>
              </w:rPr>
            </w:pPr>
            <w:r>
              <w:rPr>
                <w:rFonts w:asciiTheme="minorHAnsi" w:hAnsiTheme="minorHAnsi"/>
                <w:sz w:val="24"/>
                <w:szCs w:val="24"/>
              </w:rPr>
              <w:t>Update playground markings with an emphasis on physical activity – to include a daily mile track (£6000)</w:t>
            </w:r>
          </w:p>
          <w:p w:rsidR="00CC230D" w:rsidRPr="00E7411A" w:rsidRDefault="00CC230D" w:rsidP="00E7411A">
            <w:pPr>
              <w:pStyle w:val="TableParagraph"/>
              <w:spacing w:before="21" w:line="278" w:lineRule="exact"/>
              <w:ind w:left="720"/>
              <w:rPr>
                <w:rFonts w:asciiTheme="minorHAnsi" w:hAnsiTheme="minorHAnsi"/>
                <w:sz w:val="24"/>
                <w:szCs w:val="24"/>
              </w:rPr>
            </w:pPr>
          </w:p>
        </w:tc>
      </w:tr>
      <w:tr w:rsidR="00CC230D" w:rsidTr="00CC230D">
        <w:trPr>
          <w:trHeight w:val="320"/>
        </w:trPr>
        <w:tc>
          <w:tcPr>
            <w:tcW w:w="15378" w:type="dxa"/>
            <w:gridSpan w:val="5"/>
            <w:shd w:val="clear" w:color="auto" w:fill="BDD6EE" w:themeFill="accent1" w:themeFillTint="66"/>
          </w:tcPr>
          <w:p w:rsidR="00CC230D" w:rsidRPr="003A2108" w:rsidRDefault="00CC230D" w:rsidP="00366E9B">
            <w:pPr>
              <w:pStyle w:val="TableParagraph"/>
              <w:spacing w:before="21" w:line="278" w:lineRule="exact"/>
              <w:rPr>
                <w:rFonts w:asciiTheme="minorHAnsi" w:hAnsiTheme="minorHAnsi"/>
                <w:sz w:val="24"/>
                <w:szCs w:val="24"/>
              </w:rPr>
            </w:pPr>
            <w:r>
              <w:rPr>
                <w:rFonts w:asciiTheme="minorHAnsi" w:hAnsiTheme="minorHAnsi"/>
                <w:sz w:val="24"/>
                <w:szCs w:val="24"/>
              </w:rPr>
              <w:t>Action Plan 2021 - 2022</w:t>
            </w:r>
          </w:p>
        </w:tc>
      </w:tr>
      <w:tr w:rsidR="00D63728" w:rsidRPr="00FB1705" w:rsidTr="001A5C08">
        <w:trPr>
          <w:gridBefore w:val="1"/>
          <w:gridAfter w:val="1"/>
          <w:wBefore w:w="7" w:type="dxa"/>
          <w:wAfter w:w="61" w:type="dxa"/>
          <w:trHeight w:val="387"/>
        </w:trPr>
        <w:tc>
          <w:tcPr>
            <w:tcW w:w="4820" w:type="dxa"/>
          </w:tcPr>
          <w:p w:rsidR="00D63728" w:rsidRDefault="00D63728" w:rsidP="00366E9B">
            <w:pPr>
              <w:pStyle w:val="TableParagraph"/>
              <w:spacing w:before="41"/>
              <w:ind w:left="1535" w:right="1515"/>
              <w:jc w:val="center"/>
              <w:rPr>
                <w:b/>
                <w:sz w:val="24"/>
              </w:rPr>
            </w:pPr>
            <w:r>
              <w:rPr>
                <w:b/>
                <w:color w:val="231F20"/>
                <w:sz w:val="24"/>
              </w:rPr>
              <w:t>Intent</w:t>
            </w:r>
          </w:p>
        </w:tc>
        <w:tc>
          <w:tcPr>
            <w:tcW w:w="10490" w:type="dxa"/>
            <w:gridSpan w:val="2"/>
          </w:tcPr>
          <w:p w:rsidR="00D63728" w:rsidRDefault="00D63728" w:rsidP="00366E9B">
            <w:pPr>
              <w:pStyle w:val="TableParagraph"/>
              <w:spacing w:before="41"/>
              <w:ind w:left="1288" w:right="1268"/>
              <w:jc w:val="center"/>
              <w:rPr>
                <w:b/>
                <w:color w:val="231F20"/>
                <w:sz w:val="24"/>
              </w:rPr>
            </w:pPr>
            <w:r>
              <w:rPr>
                <w:b/>
                <w:color w:val="231F20"/>
                <w:sz w:val="24"/>
              </w:rPr>
              <w:t>Impact</w:t>
            </w:r>
            <w:r>
              <w:rPr>
                <w:b/>
                <w:color w:val="231F20"/>
                <w:sz w:val="24"/>
              </w:rPr>
              <w:t>/Evaluation</w:t>
            </w:r>
          </w:p>
          <w:p w:rsidR="00D63728" w:rsidRDefault="00D63728" w:rsidP="00366E9B">
            <w:pPr>
              <w:pStyle w:val="TableParagraph"/>
              <w:spacing w:before="41"/>
              <w:ind w:left="1288" w:right="1268"/>
              <w:jc w:val="center"/>
              <w:rPr>
                <w:b/>
                <w:sz w:val="24"/>
              </w:rPr>
            </w:pPr>
            <w:r>
              <w:rPr>
                <w:b/>
                <w:color w:val="231F20"/>
                <w:sz w:val="24"/>
              </w:rPr>
              <w:t xml:space="preserve"> (July 2022)</w:t>
            </w:r>
          </w:p>
        </w:tc>
      </w:tr>
      <w:tr w:rsidR="00D63728" w:rsidRPr="00783926" w:rsidTr="00926A62">
        <w:trPr>
          <w:gridBefore w:val="1"/>
          <w:gridAfter w:val="1"/>
          <w:wBefore w:w="7" w:type="dxa"/>
          <w:wAfter w:w="61" w:type="dxa"/>
          <w:trHeight w:val="1472"/>
        </w:trPr>
        <w:tc>
          <w:tcPr>
            <w:tcW w:w="4820" w:type="dxa"/>
          </w:tcPr>
          <w:p w:rsidR="00D63728" w:rsidRDefault="00D63728" w:rsidP="003D2BEC">
            <w:pPr>
              <w:pStyle w:val="TableParagraph"/>
              <w:ind w:left="0"/>
            </w:pPr>
            <w:r>
              <w:t>To ensure physical education is fully inclusive and enjoyable for all by embedding clear intervention where needed for physical development.</w:t>
            </w:r>
          </w:p>
          <w:p w:rsidR="00D63728" w:rsidRDefault="00D63728" w:rsidP="003D2BEC">
            <w:pPr>
              <w:pStyle w:val="TableParagraph"/>
              <w:ind w:left="0"/>
            </w:pPr>
          </w:p>
          <w:p w:rsidR="00D63728" w:rsidRDefault="00D63728" w:rsidP="003D2BEC">
            <w:pPr>
              <w:pStyle w:val="TableParagraph"/>
              <w:ind w:left="0"/>
            </w:pPr>
            <w:r>
              <w:t>To increase children’s fitness by taking part in physical activity</w:t>
            </w:r>
          </w:p>
          <w:p w:rsidR="00D63728" w:rsidRDefault="00D63728" w:rsidP="003D2BEC">
            <w:pPr>
              <w:pStyle w:val="TableParagraph"/>
              <w:ind w:left="0"/>
            </w:pPr>
          </w:p>
          <w:p w:rsidR="00D63728" w:rsidRDefault="00D63728" w:rsidP="003D2BEC">
            <w:pPr>
              <w:pStyle w:val="TableParagraph"/>
              <w:ind w:left="0"/>
            </w:pPr>
          </w:p>
          <w:p w:rsidR="00D63728" w:rsidRDefault="00D63728" w:rsidP="003D2BEC">
            <w:pPr>
              <w:pStyle w:val="TableParagraph"/>
              <w:ind w:left="0"/>
            </w:pPr>
          </w:p>
          <w:p w:rsidR="00D63728" w:rsidRDefault="00D63728" w:rsidP="003D2BEC">
            <w:pPr>
              <w:pStyle w:val="TableParagraph"/>
              <w:ind w:left="0"/>
            </w:pPr>
          </w:p>
          <w:p w:rsidR="00D63728" w:rsidRDefault="00D63728" w:rsidP="003D2BEC">
            <w:pPr>
              <w:pStyle w:val="TableParagraph"/>
              <w:ind w:left="0"/>
              <w:rPr>
                <w:rFonts w:asciiTheme="minorHAnsi" w:hAnsiTheme="minorHAnsi" w:cstheme="minorHAnsi"/>
              </w:rPr>
            </w:pPr>
            <w:r w:rsidRPr="009A4B7E">
              <w:rPr>
                <w:rFonts w:asciiTheme="minorHAnsi" w:hAnsiTheme="minorHAnsi" w:cstheme="minorHAnsi"/>
              </w:rPr>
              <w:t xml:space="preserve">To increase sports participation at break and </w:t>
            </w:r>
            <w:r w:rsidRPr="009A4B7E">
              <w:rPr>
                <w:rFonts w:asciiTheme="minorHAnsi" w:hAnsiTheme="minorHAnsi" w:cstheme="minorHAnsi"/>
              </w:rPr>
              <w:lastRenderedPageBreak/>
              <w:t>lunchtimes</w:t>
            </w:r>
          </w:p>
          <w:p w:rsidR="00D63728" w:rsidRDefault="00D63728" w:rsidP="003D2BEC">
            <w:pPr>
              <w:pStyle w:val="TableParagraph"/>
              <w:ind w:left="0"/>
              <w:rPr>
                <w:rFonts w:asciiTheme="minorHAnsi" w:hAnsiTheme="minorHAnsi" w:cstheme="minorHAnsi"/>
              </w:rPr>
            </w:pPr>
          </w:p>
          <w:p w:rsidR="00D63728" w:rsidRDefault="00D63728" w:rsidP="003D2BEC">
            <w:pPr>
              <w:pStyle w:val="TableParagraph"/>
              <w:ind w:left="0"/>
              <w:rPr>
                <w:rFonts w:asciiTheme="minorHAnsi" w:hAnsiTheme="minorHAnsi" w:cstheme="minorHAnsi"/>
                <w:sz w:val="24"/>
              </w:rPr>
            </w:pPr>
            <w:r w:rsidRPr="000A0DE9">
              <w:rPr>
                <w:rFonts w:asciiTheme="minorHAnsi" w:hAnsiTheme="minorHAnsi" w:cstheme="minorHAnsi"/>
                <w:sz w:val="24"/>
              </w:rPr>
              <w:t>Develop</w:t>
            </w:r>
            <w:r>
              <w:rPr>
                <w:rFonts w:asciiTheme="minorHAnsi" w:hAnsiTheme="minorHAnsi" w:cstheme="minorHAnsi"/>
                <w:sz w:val="24"/>
              </w:rPr>
              <w:t xml:space="preserve"> the school grounds further – area outside Year R/1 and Preschool</w:t>
            </w:r>
          </w:p>
          <w:p w:rsidR="00D63728" w:rsidRDefault="00D63728" w:rsidP="003D2BEC">
            <w:pPr>
              <w:pStyle w:val="TableParagraph"/>
              <w:ind w:left="0"/>
              <w:rPr>
                <w:rFonts w:asciiTheme="minorHAnsi" w:hAnsiTheme="minorHAnsi" w:cstheme="minorHAnsi"/>
                <w:sz w:val="24"/>
              </w:rPr>
            </w:pPr>
          </w:p>
          <w:p w:rsidR="00D63728" w:rsidRDefault="00D63728" w:rsidP="003D2BEC">
            <w:pPr>
              <w:pStyle w:val="TableParagraph"/>
              <w:ind w:left="0"/>
              <w:rPr>
                <w:rFonts w:asciiTheme="minorHAnsi" w:hAnsiTheme="minorHAnsi" w:cstheme="minorHAnsi"/>
                <w:sz w:val="24"/>
              </w:rPr>
            </w:pPr>
          </w:p>
          <w:p w:rsidR="00D63728" w:rsidRDefault="00D63728" w:rsidP="003D2BEC">
            <w:pPr>
              <w:pStyle w:val="TableParagraph"/>
              <w:ind w:left="0"/>
              <w:rPr>
                <w:rFonts w:asciiTheme="minorHAnsi" w:hAnsiTheme="minorHAnsi" w:cstheme="minorHAnsi"/>
                <w:sz w:val="24"/>
              </w:rPr>
            </w:pPr>
            <w:r>
              <w:t>To maintain the quality of children's physical education in EYFS &amp; KS1 &amp; lower KS2 to ensure staff are competent and confident, especially with a focus on catch-up PE and assessment</w:t>
            </w:r>
          </w:p>
          <w:p w:rsidR="00D63728" w:rsidRDefault="00D63728" w:rsidP="003D2BEC">
            <w:pPr>
              <w:pStyle w:val="TableParagraph"/>
              <w:ind w:left="0"/>
              <w:rPr>
                <w:rFonts w:asciiTheme="minorHAnsi" w:hAnsiTheme="minorHAnsi" w:cstheme="minorHAnsi"/>
                <w:sz w:val="24"/>
              </w:rPr>
            </w:pPr>
          </w:p>
          <w:p w:rsidR="00D63728" w:rsidRDefault="00D63728" w:rsidP="003D2BEC">
            <w:pPr>
              <w:pStyle w:val="TableParagraph"/>
              <w:ind w:left="0"/>
              <w:rPr>
                <w:rFonts w:asciiTheme="minorHAnsi" w:hAnsiTheme="minorHAnsi" w:cstheme="minorHAnsi"/>
                <w:sz w:val="24"/>
              </w:rPr>
            </w:pPr>
          </w:p>
          <w:p w:rsidR="00D63728" w:rsidRDefault="00D63728" w:rsidP="003D2BEC">
            <w:pPr>
              <w:pStyle w:val="TableParagraph"/>
              <w:ind w:left="0"/>
              <w:rPr>
                <w:rFonts w:asciiTheme="minorHAnsi" w:hAnsiTheme="minorHAnsi" w:cstheme="minorHAnsi"/>
                <w:sz w:val="24"/>
              </w:rPr>
            </w:pPr>
          </w:p>
          <w:p w:rsidR="00D63728" w:rsidRDefault="00D63728" w:rsidP="003D2BEC">
            <w:pPr>
              <w:pStyle w:val="TableParagraph"/>
              <w:ind w:left="0"/>
              <w:rPr>
                <w:rFonts w:asciiTheme="minorHAnsi" w:hAnsiTheme="minorHAnsi" w:cstheme="minorHAnsi"/>
                <w:sz w:val="24"/>
              </w:rPr>
            </w:pPr>
          </w:p>
          <w:p w:rsidR="00D63728" w:rsidRPr="009A4B7E" w:rsidRDefault="00D63728" w:rsidP="003D2BEC">
            <w:pPr>
              <w:pStyle w:val="TableParagraph"/>
              <w:ind w:left="0"/>
              <w:rPr>
                <w:rFonts w:asciiTheme="minorHAnsi" w:hAnsiTheme="minorHAnsi" w:cstheme="minorHAnsi"/>
              </w:rPr>
            </w:pPr>
          </w:p>
        </w:tc>
        <w:tc>
          <w:tcPr>
            <w:tcW w:w="10490" w:type="dxa"/>
            <w:gridSpan w:val="2"/>
          </w:tcPr>
          <w:p w:rsidR="00D63728" w:rsidRDefault="00D63728" w:rsidP="009A4B7E">
            <w:pPr>
              <w:pStyle w:val="TableParagraph"/>
              <w:spacing w:before="46" w:line="235" w:lineRule="auto"/>
              <w:ind w:right="436"/>
              <w:rPr>
                <w:i/>
                <w:sz w:val="24"/>
              </w:rPr>
            </w:pPr>
            <w:r>
              <w:rPr>
                <w:i/>
                <w:sz w:val="24"/>
              </w:rPr>
              <w:lastRenderedPageBreak/>
              <w:t>A timetable to support pupils with physical interventions was put in place and a key member of trained staff allocated to work with the children. Dough gym and fine motor skills are timetabled in the Preschool and Years R/1 and delivered regularly. Links between the Preschool and Year R/1 have been closer with staff agreeing expectations and outcomes of fine and gross motor skill activities. Planning and use of the outdoor area for the EYFS has been discussed and shared between staff with a clearer focus on physical development. Daily physical activities such as ‘</w:t>
            </w:r>
            <w:proofErr w:type="spellStart"/>
            <w:r>
              <w:rPr>
                <w:i/>
                <w:sz w:val="24"/>
              </w:rPr>
              <w:t>storycise</w:t>
            </w:r>
            <w:proofErr w:type="spellEnd"/>
            <w:r>
              <w:rPr>
                <w:i/>
                <w:sz w:val="24"/>
              </w:rPr>
              <w:t>’ have been timetabled and accessed by the preschool pupils more regularly than previously.</w:t>
            </w:r>
          </w:p>
          <w:p w:rsidR="00D63728" w:rsidRDefault="00D63728" w:rsidP="009A4B7E">
            <w:pPr>
              <w:pStyle w:val="TableParagraph"/>
              <w:spacing w:before="46" w:line="235" w:lineRule="auto"/>
              <w:ind w:right="436"/>
              <w:rPr>
                <w:i/>
                <w:sz w:val="24"/>
              </w:rPr>
            </w:pPr>
            <w:r>
              <w:rPr>
                <w:i/>
                <w:sz w:val="24"/>
              </w:rPr>
              <w:t>ARE in Physical development increased from 22% at the beginning of the year to 67%. The children below ARE decreased from 78% at the start of the year to 33% at the end of the year.</w:t>
            </w:r>
          </w:p>
          <w:p w:rsidR="00D63728" w:rsidRDefault="00D63728" w:rsidP="00D63728">
            <w:pPr>
              <w:pStyle w:val="TableParagraph"/>
              <w:spacing w:before="46" w:line="235" w:lineRule="auto"/>
              <w:ind w:right="436"/>
              <w:rPr>
                <w:i/>
                <w:sz w:val="24"/>
              </w:rPr>
            </w:pPr>
            <w:r>
              <w:rPr>
                <w:i/>
                <w:sz w:val="24"/>
              </w:rPr>
              <w:lastRenderedPageBreak/>
              <w:t>Through weekly coaching sessions, the children have participated in increased after school clubs including football, athletics, tennis and gymnastics. The ‘take up’ of the after school clubs have increased during the year and have involved pupils from Year R to Year 4. As a result of the football club and coaching, we were able to host an inter school football match with a neighbouring First school. This was well supported by the pupils and we were able to present 3 teams of 6 aside.</w:t>
            </w:r>
          </w:p>
          <w:p w:rsidR="00D63728" w:rsidRDefault="00D63728" w:rsidP="00D63728">
            <w:pPr>
              <w:pStyle w:val="TableParagraph"/>
              <w:spacing w:before="46" w:line="235" w:lineRule="auto"/>
              <w:ind w:right="436"/>
              <w:rPr>
                <w:i/>
                <w:sz w:val="24"/>
              </w:rPr>
            </w:pPr>
            <w:r>
              <w:rPr>
                <w:i/>
                <w:sz w:val="24"/>
              </w:rPr>
              <w:t>Six new trikes were purchased with the upper KS1 and lower KS2 pupils in mind. These are used daily and are popular with the children.</w:t>
            </w:r>
          </w:p>
          <w:p w:rsidR="00D63728" w:rsidRDefault="00D63728" w:rsidP="00D63728">
            <w:pPr>
              <w:pStyle w:val="TableParagraph"/>
              <w:spacing w:before="46" w:line="235" w:lineRule="auto"/>
              <w:ind w:right="436"/>
              <w:rPr>
                <w:i/>
                <w:sz w:val="24"/>
              </w:rPr>
            </w:pPr>
            <w:r>
              <w:rPr>
                <w:i/>
                <w:sz w:val="24"/>
              </w:rPr>
              <w:t xml:space="preserve">The school hosted a two day bike ability event for the Year 3 and 4 pupils in the summer term. 90% of the children participated and those that chose not to </w:t>
            </w:r>
            <w:r w:rsidR="00926A62">
              <w:rPr>
                <w:i/>
                <w:sz w:val="24"/>
              </w:rPr>
              <w:t>participate</w:t>
            </w:r>
            <w:r>
              <w:rPr>
                <w:i/>
                <w:sz w:val="24"/>
              </w:rPr>
              <w:t xml:space="preserve"> had joined the scheme previously.</w:t>
            </w:r>
          </w:p>
          <w:p w:rsidR="00D63728" w:rsidRDefault="00D63728" w:rsidP="00D63728">
            <w:pPr>
              <w:pStyle w:val="TableParagraph"/>
              <w:spacing w:before="46" w:line="235" w:lineRule="auto"/>
              <w:ind w:right="436"/>
              <w:rPr>
                <w:i/>
                <w:sz w:val="24"/>
              </w:rPr>
            </w:pPr>
            <w:r>
              <w:rPr>
                <w:i/>
                <w:sz w:val="24"/>
              </w:rPr>
              <w:t xml:space="preserve">The purchasing of a new PE scheme ‘ Complete PE’ has given staff greater confidence in the delivery of PE and has provided a clearer </w:t>
            </w:r>
            <w:r w:rsidR="00926A62">
              <w:rPr>
                <w:i/>
                <w:sz w:val="24"/>
              </w:rPr>
              <w:t>plan with progression of skills from Year R through to Year 4.</w:t>
            </w:r>
          </w:p>
          <w:p w:rsidR="00926A62" w:rsidRDefault="00926A62" w:rsidP="00D63728">
            <w:pPr>
              <w:pStyle w:val="TableParagraph"/>
              <w:spacing w:before="46" w:line="235" w:lineRule="auto"/>
              <w:ind w:right="436"/>
              <w:rPr>
                <w:i/>
                <w:sz w:val="24"/>
              </w:rPr>
            </w:pPr>
            <w:r>
              <w:rPr>
                <w:i/>
                <w:sz w:val="24"/>
              </w:rPr>
              <w:t>The purchase of new equipment and additional resources has enabled children to participate in a wider range of sports at break and lunchtime.</w:t>
            </w:r>
          </w:p>
          <w:p w:rsidR="00926A62" w:rsidRPr="00783926" w:rsidRDefault="00926A62" w:rsidP="00D63728">
            <w:pPr>
              <w:pStyle w:val="TableParagraph"/>
              <w:spacing w:before="46" w:line="235" w:lineRule="auto"/>
              <w:ind w:right="436"/>
              <w:rPr>
                <w:i/>
                <w:sz w:val="24"/>
              </w:rPr>
            </w:pPr>
            <w:r>
              <w:rPr>
                <w:i/>
                <w:sz w:val="24"/>
              </w:rPr>
              <w:t>Forest school has also been taught this year through a qualified L3 teacher and receives very popular feedback from the children.</w:t>
            </w:r>
          </w:p>
        </w:tc>
      </w:tr>
      <w:tr w:rsidR="00926A62" w:rsidRPr="00783926" w:rsidTr="00926A62">
        <w:trPr>
          <w:gridBefore w:val="1"/>
          <w:gridAfter w:val="1"/>
          <w:wBefore w:w="7" w:type="dxa"/>
          <w:wAfter w:w="61" w:type="dxa"/>
          <w:trHeight w:val="343"/>
        </w:trPr>
        <w:tc>
          <w:tcPr>
            <w:tcW w:w="15310" w:type="dxa"/>
            <w:gridSpan w:val="3"/>
            <w:shd w:val="clear" w:color="auto" w:fill="BDD6EE" w:themeFill="accent1" w:themeFillTint="66"/>
          </w:tcPr>
          <w:p w:rsidR="00926A62" w:rsidRPr="00926A62" w:rsidRDefault="00926A62" w:rsidP="00926A62">
            <w:pPr>
              <w:pStyle w:val="TableParagraph"/>
              <w:spacing w:before="46" w:line="235" w:lineRule="auto"/>
              <w:ind w:right="436"/>
              <w:rPr>
                <w:b/>
                <w:i/>
                <w:sz w:val="24"/>
              </w:rPr>
            </w:pPr>
            <w:r w:rsidRPr="00926A62">
              <w:rPr>
                <w:b/>
              </w:rPr>
              <w:lastRenderedPageBreak/>
              <w:t xml:space="preserve">How will the school ensure these improvements are sustainable? </w:t>
            </w:r>
          </w:p>
        </w:tc>
      </w:tr>
      <w:tr w:rsidR="00926A62" w:rsidRPr="00783926" w:rsidTr="0006673C">
        <w:trPr>
          <w:gridBefore w:val="1"/>
          <w:gridAfter w:val="1"/>
          <w:wBefore w:w="7" w:type="dxa"/>
          <w:wAfter w:w="61" w:type="dxa"/>
          <w:trHeight w:val="1472"/>
        </w:trPr>
        <w:tc>
          <w:tcPr>
            <w:tcW w:w="4820" w:type="dxa"/>
            <w:tcBorders>
              <w:bottom w:val="single" w:sz="12" w:space="0" w:color="231F20"/>
            </w:tcBorders>
          </w:tcPr>
          <w:p w:rsidR="00926A62" w:rsidRDefault="00926A62" w:rsidP="003D2BEC">
            <w:pPr>
              <w:pStyle w:val="TableParagraph"/>
              <w:ind w:left="0"/>
            </w:pPr>
            <w:r w:rsidRPr="00926A62">
              <w:rPr>
                <w:b/>
              </w:rPr>
              <w:t>Next steps.</w:t>
            </w:r>
          </w:p>
        </w:tc>
        <w:tc>
          <w:tcPr>
            <w:tcW w:w="10490" w:type="dxa"/>
            <w:gridSpan w:val="2"/>
            <w:tcBorders>
              <w:bottom w:val="single" w:sz="12" w:space="0" w:color="231F20"/>
            </w:tcBorders>
          </w:tcPr>
          <w:p w:rsidR="00926A62" w:rsidRDefault="00926A62" w:rsidP="00926A62">
            <w:pPr>
              <w:pStyle w:val="TableParagraph"/>
              <w:spacing w:before="46" w:line="235" w:lineRule="auto"/>
              <w:ind w:right="436"/>
              <w:rPr>
                <w:i/>
                <w:sz w:val="24"/>
              </w:rPr>
            </w:pPr>
            <w:r>
              <w:rPr>
                <w:i/>
                <w:sz w:val="24"/>
              </w:rPr>
              <w:t>Using the Sports Premium, the school has been able to provide access for the pupils to high quality equipment and resources. This has been achieved through improving the physical environment and broadening opportunities for physical activity (playground markings, Daily Mile track etc.) as well as through the delivery of a clear and progressive scheme of work. These are areas and resources that will continue to be embedded into the school curriculum.</w:t>
            </w:r>
            <w:bookmarkStart w:id="0" w:name="_GoBack"/>
            <w:bookmarkEnd w:id="0"/>
          </w:p>
        </w:tc>
      </w:tr>
    </w:tbl>
    <w:p w:rsidR="00C67B4E" w:rsidRDefault="00926A62"/>
    <w:sectPr w:rsidR="00C67B4E" w:rsidSect="003A2108">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108" w:rsidRDefault="003A2108" w:rsidP="003A2108">
      <w:r>
        <w:separator/>
      </w:r>
    </w:p>
  </w:endnote>
  <w:endnote w:type="continuationSeparator" w:id="0">
    <w:p w:rsidR="003A2108" w:rsidRDefault="003A2108" w:rsidP="003A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108" w:rsidRDefault="003A2108" w:rsidP="003A2108">
      <w:r>
        <w:separator/>
      </w:r>
    </w:p>
  </w:footnote>
  <w:footnote w:type="continuationSeparator" w:id="0">
    <w:p w:rsidR="003A2108" w:rsidRDefault="003A2108" w:rsidP="003A2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108" w:rsidRPr="003A2108" w:rsidRDefault="003A2108" w:rsidP="003A2108">
    <w:pPr>
      <w:pStyle w:val="Header"/>
      <w:jc w:val="center"/>
      <w:rPr>
        <w:lang w:val="en-US"/>
      </w:rPr>
    </w:pPr>
    <w:r>
      <w:rPr>
        <w:lang w:val="en-US"/>
      </w:rPr>
      <w:t>Piddle Valley CE First School PE Grant Report 2021 - 2022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A2F2B"/>
    <w:multiLevelType w:val="hybridMultilevel"/>
    <w:tmpl w:val="8A62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08"/>
    <w:rsid w:val="003A2108"/>
    <w:rsid w:val="003D2BEC"/>
    <w:rsid w:val="00735CE0"/>
    <w:rsid w:val="00926A62"/>
    <w:rsid w:val="009A4B7E"/>
    <w:rsid w:val="00A70178"/>
    <w:rsid w:val="00CC230D"/>
    <w:rsid w:val="00D63728"/>
    <w:rsid w:val="00E74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7BE3"/>
  <w15:chartTrackingRefBased/>
  <w15:docId w15:val="{72D6B527-57C2-40E5-87D4-E8E42944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2108"/>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A2108"/>
    <w:pPr>
      <w:ind w:left="80"/>
    </w:pPr>
  </w:style>
  <w:style w:type="paragraph" w:styleId="Header">
    <w:name w:val="header"/>
    <w:basedOn w:val="Normal"/>
    <w:link w:val="HeaderChar"/>
    <w:uiPriority w:val="99"/>
    <w:unhideWhenUsed/>
    <w:rsid w:val="003A2108"/>
    <w:pPr>
      <w:tabs>
        <w:tab w:val="center" w:pos="4513"/>
        <w:tab w:val="right" w:pos="9026"/>
      </w:tabs>
    </w:pPr>
  </w:style>
  <w:style w:type="character" w:customStyle="1" w:styleId="HeaderChar">
    <w:name w:val="Header Char"/>
    <w:basedOn w:val="DefaultParagraphFont"/>
    <w:link w:val="Header"/>
    <w:uiPriority w:val="99"/>
    <w:rsid w:val="003A2108"/>
    <w:rPr>
      <w:rFonts w:ascii="Calibri" w:eastAsia="Calibri" w:hAnsi="Calibri" w:cs="Calibri"/>
    </w:rPr>
  </w:style>
  <w:style w:type="paragraph" w:styleId="Footer">
    <w:name w:val="footer"/>
    <w:basedOn w:val="Normal"/>
    <w:link w:val="FooterChar"/>
    <w:uiPriority w:val="99"/>
    <w:unhideWhenUsed/>
    <w:rsid w:val="003A2108"/>
    <w:pPr>
      <w:tabs>
        <w:tab w:val="center" w:pos="4513"/>
        <w:tab w:val="right" w:pos="9026"/>
      </w:tabs>
    </w:pPr>
  </w:style>
  <w:style w:type="character" w:customStyle="1" w:styleId="FooterChar">
    <w:name w:val="Footer Char"/>
    <w:basedOn w:val="DefaultParagraphFont"/>
    <w:link w:val="Footer"/>
    <w:uiPriority w:val="99"/>
    <w:rsid w:val="003A2108"/>
    <w:rPr>
      <w:rFonts w:ascii="Calibri" w:eastAsia="Calibri" w:hAnsi="Calibri" w:cs="Calibri"/>
    </w:rPr>
  </w:style>
  <w:style w:type="paragraph" w:styleId="ListParagraph">
    <w:name w:val="List Paragraph"/>
    <w:basedOn w:val="Normal"/>
    <w:uiPriority w:val="34"/>
    <w:qFormat/>
    <w:rsid w:val="00E74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1</cp:revision>
  <dcterms:created xsi:type="dcterms:W3CDTF">2022-09-07T13:31:00Z</dcterms:created>
  <dcterms:modified xsi:type="dcterms:W3CDTF">2022-09-07T15:28:00Z</dcterms:modified>
</cp:coreProperties>
</file>